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A9" w:rsidRDefault="009901A9" w:rsidP="009901A9">
      <w:pPr>
        <w:pStyle w:val="a3"/>
        <w:jc w:val="center"/>
      </w:pPr>
      <w:proofErr w:type="spellStart"/>
      <w:r>
        <w:rPr>
          <w:rFonts w:ascii="돋움체" w:eastAsia="돋움체" w:hAnsi="돋움체" w:hint="eastAsia"/>
          <w:b/>
          <w:bCs/>
          <w:sz w:val="64"/>
          <w:szCs w:val="64"/>
        </w:rPr>
        <w:t>유리알표지병</w:t>
      </w:r>
      <w:proofErr w:type="spellEnd"/>
      <w:r>
        <w:rPr>
          <w:rFonts w:ascii="돋움체" w:eastAsia="돋움체" w:hAnsi="돋움체" w:hint="eastAsia"/>
          <w:b/>
          <w:bCs/>
          <w:sz w:val="64"/>
          <w:szCs w:val="64"/>
        </w:rPr>
        <w:t xml:space="preserve"> 시방서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b/>
          <w:bCs/>
          <w:sz w:val="28"/>
          <w:szCs w:val="28"/>
        </w:rPr>
        <w:t>1. 목적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 xml:space="preserve">본 시방서는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하이큐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표지병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설치 순서와 방법을 명확히 하여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시인성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확보는 물론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도로상의 차량 유도를 자연스럽게 하여 사고를 미연에 방지하도록 확실하고 안전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하게 설치되며 지속적인 유지 관리가 되도록 함을 목적으로 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b/>
          <w:bCs/>
          <w:sz w:val="28"/>
          <w:szCs w:val="28"/>
        </w:rPr>
        <w:t>2. 적용범위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 xml:space="preserve">본 시방서는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하이큐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표지병의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시공에 적용한다.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b/>
          <w:bCs/>
          <w:sz w:val="28"/>
          <w:szCs w:val="28"/>
        </w:rPr>
        <w:t>3. 제품 규격 및 명칭</w:t>
      </w:r>
      <w:r>
        <w:rPr>
          <w:rFonts w:ascii="돋움체" w:eastAsia="돋움체" w:hAnsi="돋움체" w:hint="eastAsia"/>
          <w:sz w:val="26"/>
          <w:szCs w:val="26"/>
        </w:rPr>
        <w:t xml:space="preserve"> 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 xml:space="preserve">가. 명칭 :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하이큐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유리알표지병</w:t>
      </w:r>
      <w:proofErr w:type="spellEnd"/>
      <w:r>
        <w:rPr>
          <w:rFonts w:ascii="돋움체" w:eastAsia="돋움체" w:hAnsi="돋움체" w:hint="eastAsia"/>
          <w:sz w:val="26"/>
          <w:szCs w:val="26"/>
        </w:rPr>
        <w:t>(일체형/원형)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나. 규격 : 130㎜ × 110㎜ × 30㎜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다. 재질 : AL (반사체 유리알)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8"/>
          <w:szCs w:val="28"/>
        </w:rPr>
        <w:t>4</w:t>
      </w:r>
      <w:r>
        <w:rPr>
          <w:rFonts w:ascii="돋움체" w:eastAsia="돋움체" w:hAnsi="돋움체" w:hint="eastAsia"/>
          <w:b/>
          <w:bCs/>
          <w:sz w:val="28"/>
          <w:szCs w:val="28"/>
        </w:rPr>
        <w:t>. 제품의 구조 및 특징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* 설계도면 참조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b/>
          <w:bCs/>
          <w:sz w:val="28"/>
          <w:szCs w:val="28"/>
        </w:rPr>
        <w:t>5. 설치 방법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가. 시공에 필요한 안전 조치</w:t>
      </w:r>
    </w:p>
    <w:p w:rsidR="009901A9" w:rsidRDefault="009901A9" w:rsidP="009901A9">
      <w:pPr>
        <w:pStyle w:val="a3"/>
        <w:rPr>
          <w:rFonts w:hint="eastAsia"/>
        </w:rPr>
      </w:pPr>
      <w:proofErr w:type="spellStart"/>
      <w:r>
        <w:rPr>
          <w:rFonts w:ascii="돋움체" w:eastAsia="돋움체" w:hAnsi="돋움체" w:hint="eastAsia"/>
          <w:sz w:val="26"/>
          <w:szCs w:val="26"/>
        </w:rPr>
        <w:t>시공자는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사전에 운전자 및 보행자,작업자에 대한 안전조치를 취한다.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나. 시공순서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 xml:space="preserve">1)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표지병의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설치는 설계도 및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시방서에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의거하여 시공한다.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 xml:space="preserve">2)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시공자는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발주처의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설계 사양에 의거 시내도로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지방도로등을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구분하여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곡선구간: M, 직선구간: M,안전지대: M 을 맞추어 설치 위치를 표시한다.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3) Φ30 드릴을 사용하여 천공한다.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4) 천공 위치의 이물질을 제거하고 도로 표지병용 접착제(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에폭시</w:t>
      </w:r>
      <w:proofErr w:type="spellEnd"/>
      <w:r>
        <w:rPr>
          <w:rFonts w:ascii="돋움체" w:eastAsia="돋움체" w:hAnsi="돋움체" w:hint="eastAsia"/>
          <w:sz w:val="26"/>
          <w:szCs w:val="26"/>
        </w:rPr>
        <w:t>)를 넣는다.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lastRenderedPageBreak/>
        <w:t xml:space="preserve">5)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표지병을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자연스럽게 눌러 넣고 각도를 맞춘다.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 xml:space="preserve">6) 접착제가 경화될 때 까지(약 15~20분) 외력을 받지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않토록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 xml:space="preserve">7) 시공한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표지병의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시공 상태를 확인한다.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8) 주변을 정리하고 안전 조치 시설물을 철거한다.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b/>
          <w:bCs/>
          <w:sz w:val="28"/>
          <w:szCs w:val="28"/>
        </w:rPr>
        <w:t>6. 검수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 xml:space="preserve">시공이 종료되면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발주처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및 감독관의 입회 하에 검수를 받는다.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 xml:space="preserve">*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발주처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및 감독관의 입회가 불가능 할 경우 시공 과정의 전,중,후를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촬영하여 시공이 완료되었음을 입증하도록 하여야 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b/>
          <w:bCs/>
          <w:sz w:val="28"/>
          <w:szCs w:val="28"/>
        </w:rPr>
        <w:t>7. 유지관리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 xml:space="preserve">설치된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표지병은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주기적인 점검을 통하여 제 기능을 발휘하는지 점검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하고 유지관리 하여야 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가.점검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점검은 통상 순회 점검을 통하여 이상 유무를 확인한다.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1) 함몰 상태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2) 파손 유무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나.보수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 xml:space="preserve">함몰 상태가 심하거나 파손이 있는 경우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파손품을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제거하고 시공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>순서에 의거 재시공 한다.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b/>
          <w:bCs/>
          <w:sz w:val="28"/>
          <w:szCs w:val="28"/>
        </w:rPr>
        <w:t>8. 기 타</w:t>
      </w:r>
    </w:p>
    <w:p w:rsidR="009901A9" w:rsidRDefault="009901A9" w:rsidP="009901A9">
      <w:pPr>
        <w:pStyle w:val="a3"/>
        <w:rPr>
          <w:rFonts w:hint="eastAsia"/>
        </w:rPr>
      </w:pPr>
      <w:r>
        <w:rPr>
          <w:rFonts w:ascii="돋움체" w:eastAsia="돋움체" w:hAnsi="돋움체" w:hint="eastAsia"/>
          <w:sz w:val="26"/>
          <w:szCs w:val="26"/>
        </w:rPr>
        <w:t xml:space="preserve">본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시방서에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기술되지 아니한 사항은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발주처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및 감독관의 지시에 따라야 한다.</w:t>
      </w:r>
    </w:p>
    <w:p w:rsidR="00477909" w:rsidRPr="009901A9" w:rsidRDefault="00477909"/>
    <w:sectPr w:rsidR="00477909" w:rsidRPr="009901A9" w:rsidSect="0047790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-국향B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63322"/>
    <w:rsid w:val="00477909"/>
    <w:rsid w:val="009901A9"/>
    <w:rsid w:val="00B6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0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901A9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2017-11-10T00:59:00Z</dcterms:created>
  <dcterms:modified xsi:type="dcterms:W3CDTF">2017-11-10T00:59:00Z</dcterms:modified>
</cp:coreProperties>
</file>